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9568" w14:textId="521B26C0" w:rsidR="00B42E3B" w:rsidRPr="00B42E3B" w:rsidRDefault="00B42E3B" w:rsidP="00B42E3B">
      <w:pPr>
        <w:spacing w:before="100" w:beforeAutospacing="1" w:after="100" w:afterAutospacing="1" w:line="240" w:lineRule="auto"/>
        <w:outlineLvl w:val="2"/>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Four</w:t>
      </w:r>
      <w:r w:rsidRPr="00B42E3B">
        <w:rPr>
          <w:rFonts w:eastAsia="Times New Roman" w:cs="Times New Roman"/>
          <w:b/>
          <w:bCs/>
          <w:kern w:val="0"/>
          <w:sz w:val="22"/>
          <w:szCs w:val="22"/>
          <w:lang w:eastAsia="en-GB"/>
          <w14:ligatures w14:val="none"/>
        </w:rPr>
        <w:noBreakHyphen/>
        <w:t>Page Summary</w:t>
      </w:r>
    </w:p>
    <w:p w14:paraId="50F48980" w14:textId="77777777" w:rsidR="00B42E3B" w:rsidRPr="00B42E3B" w:rsidRDefault="00B42E3B" w:rsidP="00941260">
      <w:pPr>
        <w:spacing w:before="120" w:after="0" w:line="240" w:lineRule="auto"/>
        <w:outlineLvl w:val="1"/>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1. Introduction</w:t>
      </w:r>
    </w:p>
    <w:p w14:paraId="504BE1B8"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The Plaistow and Ifold Neighbourhood Plan has been prepared by the Parish Council to guide how the Parish evolves up to 2039. It sits alongside the Chichester Local Plan and the forthcoming Development Plan Document (DPD), which will allocate specific housing sites. Once “made”, the Neighbourhood Plan becomes part of the statutory Development Plan and strengthens the community’s influence over planning decisions. It also increases the Parish’s share of Community Infrastructure Levy (CIL) receipts to 25%, enabling investment in local infrastructure.</w:t>
      </w:r>
    </w:p>
    <w:p w14:paraId="0A1F311B"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The Plan covers the entire Parish, including the area within the South Downs National Park. It provides a locally</w:t>
      </w:r>
      <w:r w:rsidRPr="00B42E3B">
        <w:rPr>
          <w:rFonts w:eastAsia="Times New Roman" w:cs="Times New Roman"/>
          <w:kern w:val="0"/>
          <w:sz w:val="22"/>
          <w:szCs w:val="22"/>
          <w:lang w:eastAsia="en-GB"/>
          <w14:ligatures w14:val="none"/>
        </w:rPr>
        <w:noBreakHyphen/>
        <w:t>grounded framework for development, shaped by evidence, consultation, and a clear vision for the future.</w:t>
      </w:r>
    </w:p>
    <w:p w14:paraId="73DE6D73" w14:textId="77777777" w:rsidR="00B42E3B" w:rsidRPr="00B42E3B" w:rsidRDefault="00B42E3B" w:rsidP="00941260">
      <w:pPr>
        <w:spacing w:before="120" w:after="0" w:line="240" w:lineRule="auto"/>
        <w:outlineLvl w:val="1"/>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2. The Parish Today</w:t>
      </w:r>
    </w:p>
    <w:p w14:paraId="3719C818" w14:textId="77777777" w:rsidR="00B42E3B" w:rsidRPr="00B42E3B" w:rsidRDefault="00B42E3B" w:rsidP="00941260">
      <w:pPr>
        <w:spacing w:before="120" w:after="0" w:line="240" w:lineRule="auto"/>
        <w:outlineLvl w:val="2"/>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Geography and Settlements</w:t>
      </w:r>
    </w:p>
    <w:p w14:paraId="731E092C"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The Parish lies in the northeast of Chichester District, bordered by Dunsfold, Northchapel, Kirdford, and Loxwood. It is predominantly rural, with no major roads or rail links, and characterised by woodland, farmland, and ancient landscapes.</w:t>
      </w:r>
    </w:p>
    <w:p w14:paraId="6252CF9F"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Four distinct settlements shape the Parish:</w:t>
      </w:r>
    </w:p>
    <w:p w14:paraId="1DF403AB" w14:textId="77777777" w:rsidR="00B42E3B" w:rsidRPr="00B42E3B" w:rsidRDefault="00B42E3B" w:rsidP="00941260">
      <w:pPr>
        <w:numPr>
          <w:ilvl w:val="0"/>
          <w:numId w:val="1"/>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t>Ifold</w:t>
      </w:r>
      <w:r w:rsidRPr="00B42E3B">
        <w:rPr>
          <w:rFonts w:eastAsia="Times New Roman" w:cs="Times New Roman"/>
          <w:kern w:val="0"/>
          <w:sz w:val="22"/>
          <w:szCs w:val="22"/>
          <w:lang w:eastAsia="en-GB"/>
          <w14:ligatures w14:val="none"/>
        </w:rPr>
        <w:t xml:space="preserve"> – a former estate transformed into a low</w:t>
      </w:r>
      <w:r w:rsidRPr="00B42E3B">
        <w:rPr>
          <w:rFonts w:eastAsia="Times New Roman" w:cs="Times New Roman"/>
          <w:kern w:val="0"/>
          <w:sz w:val="22"/>
          <w:szCs w:val="22"/>
          <w:lang w:eastAsia="en-GB"/>
          <w14:ligatures w14:val="none"/>
        </w:rPr>
        <w:noBreakHyphen/>
        <w:t>density residential area of large plots and private, unadopted roads. It is the only settlement with a defined boundary.</w:t>
      </w:r>
    </w:p>
    <w:p w14:paraId="353D8918" w14:textId="77777777" w:rsidR="00B42E3B" w:rsidRPr="00B42E3B" w:rsidRDefault="00B42E3B" w:rsidP="00941260">
      <w:pPr>
        <w:numPr>
          <w:ilvl w:val="0"/>
          <w:numId w:val="1"/>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t>Plaistow</w:t>
      </w:r>
      <w:r w:rsidRPr="00B42E3B">
        <w:rPr>
          <w:rFonts w:eastAsia="Times New Roman" w:cs="Times New Roman"/>
          <w:kern w:val="0"/>
          <w:sz w:val="22"/>
          <w:szCs w:val="22"/>
          <w:lang w:eastAsia="en-GB"/>
          <w14:ligatures w14:val="none"/>
        </w:rPr>
        <w:t xml:space="preserve"> – a traditional village centred on its green, half owned by the National Trust. Its Conservation Area includes historic buildings, a triangular street pattern, and the notable Nell Ball hill.</w:t>
      </w:r>
    </w:p>
    <w:p w14:paraId="14C12C9F" w14:textId="77777777" w:rsidR="00B42E3B" w:rsidRPr="00B42E3B" w:rsidRDefault="00B42E3B" w:rsidP="00941260">
      <w:pPr>
        <w:numPr>
          <w:ilvl w:val="0"/>
          <w:numId w:val="1"/>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t>Durfold Wood</w:t>
      </w:r>
      <w:r w:rsidRPr="00B42E3B">
        <w:rPr>
          <w:rFonts w:eastAsia="Times New Roman" w:cs="Times New Roman"/>
          <w:kern w:val="0"/>
          <w:sz w:val="22"/>
          <w:szCs w:val="22"/>
          <w:lang w:eastAsia="en-GB"/>
          <w14:ligatures w14:val="none"/>
        </w:rPr>
        <w:t xml:space="preserve"> – a 1930s woodland settlement of large garden plots and mature vegetation.</w:t>
      </w:r>
    </w:p>
    <w:p w14:paraId="51D98D80" w14:textId="77777777" w:rsidR="00B42E3B" w:rsidRPr="00B42E3B" w:rsidRDefault="00B42E3B" w:rsidP="00941260">
      <w:pPr>
        <w:numPr>
          <w:ilvl w:val="0"/>
          <w:numId w:val="1"/>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t>Shillinglee</w:t>
      </w:r>
      <w:r w:rsidRPr="00B42E3B">
        <w:rPr>
          <w:rFonts w:eastAsia="Times New Roman" w:cs="Times New Roman"/>
          <w:kern w:val="0"/>
          <w:sz w:val="22"/>
          <w:szCs w:val="22"/>
          <w:lang w:eastAsia="en-GB"/>
          <w14:ligatures w14:val="none"/>
        </w:rPr>
        <w:t xml:space="preserve"> – historically linked to the Arundel Estate, with Shillinglee House now converted into residential units.</w:t>
      </w:r>
    </w:p>
    <w:p w14:paraId="22165B1E" w14:textId="77777777" w:rsidR="00B42E3B" w:rsidRPr="00B42E3B" w:rsidRDefault="00B42E3B" w:rsidP="00941260">
      <w:pPr>
        <w:spacing w:before="120" w:after="0" w:line="240" w:lineRule="auto"/>
        <w:outlineLvl w:val="2"/>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Community and Economy</w:t>
      </w:r>
    </w:p>
    <w:p w14:paraId="4EB24BCA" w14:textId="55784289"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The Parish has a higher proportion of children and older residents than district and national averages. Over the past decade, homeworking has risen dramatically, reshaping local economic patterns and reducing commuting</w:t>
      </w:r>
      <w:r w:rsidRPr="00941260">
        <w:rPr>
          <w:rFonts w:eastAsia="Times New Roman" w:cs="Times New Roman"/>
          <w:kern w:val="0"/>
          <w:sz w:val="22"/>
          <w:szCs w:val="22"/>
          <w:lang w:eastAsia="en-GB"/>
          <w14:ligatures w14:val="none"/>
        </w:rPr>
        <w:t xml:space="preserve"> although the 2021 Census results must be put in the context of Covid restrictions on travel</w:t>
      </w:r>
      <w:r w:rsidRPr="00B42E3B">
        <w:rPr>
          <w:rFonts w:eastAsia="Times New Roman" w:cs="Times New Roman"/>
          <w:kern w:val="0"/>
          <w:sz w:val="22"/>
          <w:szCs w:val="22"/>
          <w:lang w:eastAsia="en-GB"/>
          <w14:ligatures w14:val="none"/>
        </w:rPr>
        <w:t>. Residents are more likely to work in professional and managerial roles, with fewer in manual or service occupations.</w:t>
      </w:r>
    </w:p>
    <w:p w14:paraId="29125F93" w14:textId="77777777" w:rsidR="00B42E3B" w:rsidRPr="00941260"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The rural setting, tranquillity, and strong community identity underpin the Parish’s appeal and inform the Plan’s objectives.</w:t>
      </w:r>
    </w:p>
    <w:p w14:paraId="4F4B0EA9" w14:textId="77777777" w:rsidR="00B42E3B" w:rsidRPr="00B42E3B" w:rsidRDefault="00B42E3B" w:rsidP="00941260">
      <w:pPr>
        <w:spacing w:before="120" w:after="0" w:line="240" w:lineRule="auto"/>
        <w:outlineLvl w:val="1"/>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3. Vision and Objectives</w:t>
      </w:r>
    </w:p>
    <w:p w14:paraId="0D7E3E5E" w14:textId="7391F8BB"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The community’s vision is rooted in a shared appreciation of rural tranquillity, heritage, and landscape. The Plan seeks to ensure that the Parish evolves sensitively, blending</w:t>
      </w:r>
      <w:r w:rsidRPr="00941260">
        <w:rPr>
          <w:rFonts w:eastAsia="Times New Roman" w:cs="Times New Roman"/>
          <w:kern w:val="0"/>
          <w:sz w:val="22"/>
          <w:szCs w:val="22"/>
          <w:lang w:eastAsia="en-GB"/>
          <w14:ligatures w14:val="none"/>
        </w:rPr>
        <w:t>,</w:t>
      </w:r>
      <w:r w:rsidRPr="00B42E3B">
        <w:rPr>
          <w:rFonts w:eastAsia="Times New Roman" w:cs="Times New Roman"/>
          <w:kern w:val="0"/>
          <w:sz w:val="22"/>
          <w:szCs w:val="22"/>
          <w:lang w:eastAsia="en-GB"/>
          <w14:ligatures w14:val="none"/>
        </w:rPr>
        <w:t xml:space="preserve"> </w:t>
      </w:r>
      <w:r w:rsidRPr="00941260">
        <w:rPr>
          <w:rFonts w:eastAsia="Times New Roman" w:cs="Times New Roman"/>
          <w:kern w:val="0"/>
          <w:sz w:val="22"/>
          <w:szCs w:val="22"/>
          <w:lang w:eastAsia="en-GB"/>
          <w14:ligatures w14:val="none"/>
        </w:rPr>
        <w:t xml:space="preserve">not preventing, </w:t>
      </w:r>
      <w:r w:rsidRPr="00B42E3B">
        <w:rPr>
          <w:rFonts w:eastAsia="Times New Roman" w:cs="Times New Roman"/>
          <w:kern w:val="0"/>
          <w:sz w:val="22"/>
          <w:szCs w:val="22"/>
          <w:lang w:eastAsia="en-GB"/>
          <w14:ligatures w14:val="none"/>
        </w:rPr>
        <w:t>new development with existing character, protecting natural assets, and supporting a thriving, connected community.</w:t>
      </w:r>
    </w:p>
    <w:p w14:paraId="3F2B4EE0"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Five overarching objectives guide the Plan:</w:t>
      </w:r>
    </w:p>
    <w:p w14:paraId="7B7DC016" w14:textId="77777777" w:rsidR="00B42E3B" w:rsidRPr="00B42E3B" w:rsidRDefault="00B42E3B" w:rsidP="00941260">
      <w:pPr>
        <w:numPr>
          <w:ilvl w:val="0"/>
          <w:numId w:val="2"/>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lastRenderedPageBreak/>
        <w:t>Housing</w:t>
      </w:r>
      <w:r w:rsidRPr="00B42E3B">
        <w:rPr>
          <w:rFonts w:eastAsia="Times New Roman" w:cs="Times New Roman"/>
          <w:kern w:val="0"/>
          <w:sz w:val="22"/>
          <w:szCs w:val="22"/>
          <w:lang w:eastAsia="en-GB"/>
          <w14:ligatures w14:val="none"/>
        </w:rPr>
        <w:t xml:space="preserve"> – retain Ifold’s settlement boundary; respect Plaistow’s Conservation Area; ensure new development reflects local character, density, and need.</w:t>
      </w:r>
    </w:p>
    <w:p w14:paraId="223F0E98" w14:textId="77777777" w:rsidR="00B42E3B" w:rsidRPr="00B42E3B" w:rsidRDefault="00B42E3B" w:rsidP="00941260">
      <w:pPr>
        <w:numPr>
          <w:ilvl w:val="0"/>
          <w:numId w:val="2"/>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t>Economy &amp; Employment</w:t>
      </w:r>
      <w:r w:rsidRPr="00B42E3B">
        <w:rPr>
          <w:rFonts w:eastAsia="Times New Roman" w:cs="Times New Roman"/>
          <w:kern w:val="0"/>
          <w:sz w:val="22"/>
          <w:szCs w:val="22"/>
          <w:lang w:eastAsia="en-GB"/>
          <w14:ligatures w14:val="none"/>
        </w:rPr>
        <w:t xml:space="preserve"> – protect employment space; support small</w:t>
      </w:r>
      <w:r w:rsidRPr="00B42E3B">
        <w:rPr>
          <w:rFonts w:eastAsia="Times New Roman" w:cs="Times New Roman"/>
          <w:kern w:val="0"/>
          <w:sz w:val="22"/>
          <w:szCs w:val="22"/>
          <w:lang w:eastAsia="en-GB"/>
          <w14:ligatures w14:val="none"/>
        </w:rPr>
        <w:noBreakHyphen/>
        <w:t>scale business growth, homeworking, agriculture, and rural enterprises.</w:t>
      </w:r>
    </w:p>
    <w:p w14:paraId="681FA7C5" w14:textId="490BA89D" w:rsidR="00B42E3B" w:rsidRPr="00B42E3B" w:rsidRDefault="00B42E3B" w:rsidP="00941260">
      <w:pPr>
        <w:numPr>
          <w:ilvl w:val="0"/>
          <w:numId w:val="2"/>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t>Community Assets &amp; Recreation</w:t>
      </w:r>
      <w:r w:rsidRPr="00B42E3B">
        <w:rPr>
          <w:rFonts w:eastAsia="Times New Roman" w:cs="Times New Roman"/>
          <w:kern w:val="0"/>
          <w:sz w:val="22"/>
          <w:szCs w:val="22"/>
          <w:lang w:eastAsia="en-GB"/>
          <w14:ligatures w14:val="none"/>
        </w:rPr>
        <w:t xml:space="preserve"> – safeguard heritage, community buildings, and </w:t>
      </w:r>
      <w:r w:rsidRPr="00941260">
        <w:rPr>
          <w:rFonts w:eastAsia="Times New Roman" w:cs="Times New Roman"/>
          <w:kern w:val="0"/>
          <w:sz w:val="22"/>
          <w:szCs w:val="22"/>
          <w:lang w:eastAsia="en-GB"/>
          <w14:ligatures w14:val="none"/>
        </w:rPr>
        <w:t xml:space="preserve">protect and enhance </w:t>
      </w:r>
      <w:r w:rsidRPr="00B42E3B">
        <w:rPr>
          <w:rFonts w:eastAsia="Times New Roman" w:cs="Times New Roman"/>
          <w:kern w:val="0"/>
          <w:sz w:val="22"/>
          <w:szCs w:val="22"/>
          <w:lang w:eastAsia="en-GB"/>
          <w14:ligatures w14:val="none"/>
        </w:rPr>
        <w:t>spaces for social interaction.</w:t>
      </w:r>
    </w:p>
    <w:p w14:paraId="21742681" w14:textId="77777777" w:rsidR="00B42E3B" w:rsidRPr="00B42E3B" w:rsidRDefault="00B42E3B" w:rsidP="00941260">
      <w:pPr>
        <w:numPr>
          <w:ilvl w:val="0"/>
          <w:numId w:val="2"/>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t>Water</w:t>
      </w:r>
      <w:r w:rsidRPr="00B42E3B">
        <w:rPr>
          <w:rFonts w:eastAsia="Times New Roman" w:cs="Times New Roman"/>
          <w:kern w:val="0"/>
          <w:sz w:val="22"/>
          <w:szCs w:val="22"/>
          <w:lang w:eastAsia="en-GB"/>
          <w14:ligatures w14:val="none"/>
        </w:rPr>
        <w:t xml:space="preserve"> – ensure development does not outpace foul and surface water drainage capacity.</w:t>
      </w:r>
    </w:p>
    <w:p w14:paraId="7FF5F8F4" w14:textId="08B6010F" w:rsidR="00B42E3B" w:rsidRPr="00B42E3B" w:rsidRDefault="00B42E3B" w:rsidP="00941260">
      <w:pPr>
        <w:numPr>
          <w:ilvl w:val="0"/>
          <w:numId w:val="2"/>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t>Environment &amp; Connectivity</w:t>
      </w:r>
      <w:r w:rsidRPr="00B42E3B">
        <w:rPr>
          <w:rFonts w:eastAsia="Times New Roman" w:cs="Times New Roman"/>
          <w:kern w:val="0"/>
          <w:sz w:val="22"/>
          <w:szCs w:val="22"/>
          <w:lang w:eastAsia="en-GB"/>
          <w14:ligatures w14:val="none"/>
        </w:rPr>
        <w:t xml:space="preserve"> – enhance biodiversity, habitats, and opportunities for active travel</w:t>
      </w:r>
      <w:r w:rsidRPr="00941260">
        <w:rPr>
          <w:rFonts w:eastAsia="Times New Roman" w:cs="Times New Roman"/>
          <w:kern w:val="0"/>
          <w:sz w:val="22"/>
          <w:szCs w:val="22"/>
          <w:lang w:eastAsia="en-GB"/>
          <w14:ligatures w14:val="none"/>
        </w:rPr>
        <w:t xml:space="preserve"> to protect the environment and promote wellbeing</w:t>
      </w:r>
      <w:r w:rsidRPr="00B42E3B">
        <w:rPr>
          <w:rFonts w:eastAsia="Times New Roman" w:cs="Times New Roman"/>
          <w:kern w:val="0"/>
          <w:sz w:val="22"/>
          <w:szCs w:val="22"/>
          <w:lang w:eastAsia="en-GB"/>
          <w14:ligatures w14:val="none"/>
        </w:rPr>
        <w:t>.</w:t>
      </w:r>
    </w:p>
    <w:p w14:paraId="6E142BAB" w14:textId="77777777" w:rsidR="00B42E3B" w:rsidRPr="00B42E3B" w:rsidRDefault="00B42E3B" w:rsidP="00941260">
      <w:pPr>
        <w:spacing w:before="120" w:after="0" w:line="240" w:lineRule="auto"/>
        <w:outlineLvl w:val="1"/>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4. Housing Strategy</w:t>
      </w:r>
    </w:p>
    <w:p w14:paraId="16DC20FB" w14:textId="77777777" w:rsidR="00B42E3B" w:rsidRPr="00B42E3B" w:rsidRDefault="00B42E3B" w:rsidP="00941260">
      <w:pPr>
        <w:spacing w:before="120" w:after="0" w:line="240" w:lineRule="auto"/>
        <w:outlineLvl w:val="2"/>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Local Housing Need</w:t>
      </w:r>
    </w:p>
    <w:p w14:paraId="15E9F95B"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 xml:space="preserve">The Chichester Local Plan requires the Parish to accommodate 25 dwellings on sites of five or more units between 2021 and 2039. The Neighbourhood Plan does </w:t>
      </w:r>
      <w:r w:rsidRPr="00B42E3B">
        <w:rPr>
          <w:rFonts w:eastAsia="Times New Roman" w:cs="Times New Roman"/>
          <w:b/>
          <w:bCs/>
          <w:kern w:val="0"/>
          <w:sz w:val="22"/>
          <w:szCs w:val="22"/>
          <w:lang w:eastAsia="en-GB"/>
          <w14:ligatures w14:val="none"/>
        </w:rPr>
        <w:t>not</w:t>
      </w:r>
      <w:r w:rsidRPr="00B42E3B">
        <w:rPr>
          <w:rFonts w:eastAsia="Times New Roman" w:cs="Times New Roman"/>
          <w:kern w:val="0"/>
          <w:sz w:val="22"/>
          <w:szCs w:val="22"/>
          <w:lang w:eastAsia="en-GB"/>
          <w14:ligatures w14:val="none"/>
        </w:rPr>
        <w:t xml:space="preserve"> allocate sites; instead, it relies on the DPD and the normal planning process. Smaller schemes (fewer than five dwellings) are treated as windfall and do not count toward the target.</w:t>
      </w:r>
    </w:p>
    <w:p w14:paraId="4C0FC610"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Evidence from the 2024 Housing Needs Assessment highlights the need for smaller homes, first</w:t>
      </w:r>
      <w:r w:rsidRPr="00B42E3B">
        <w:rPr>
          <w:rFonts w:eastAsia="Times New Roman" w:cs="Times New Roman"/>
          <w:kern w:val="0"/>
          <w:sz w:val="22"/>
          <w:szCs w:val="22"/>
          <w:lang w:eastAsia="en-GB"/>
          <w14:ligatures w14:val="none"/>
        </w:rPr>
        <w:noBreakHyphen/>
        <w:t>time buyer properties, housing for older residents, and accommodation for those with a local connection.</w:t>
      </w:r>
    </w:p>
    <w:p w14:paraId="142E41E3" w14:textId="77777777" w:rsidR="00B42E3B" w:rsidRPr="00941260"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t>Policy H1</w:t>
      </w:r>
      <w:r w:rsidRPr="00B42E3B">
        <w:rPr>
          <w:rFonts w:eastAsia="Times New Roman" w:cs="Times New Roman"/>
          <w:kern w:val="0"/>
          <w:sz w:val="22"/>
          <w:szCs w:val="22"/>
          <w:lang w:eastAsia="en-GB"/>
          <w14:ligatures w14:val="none"/>
        </w:rPr>
        <w:t xml:space="preserve"> requires larger developments (10+ units) to provide affordable housing in line with the Local Plan and to deliver a mix of tenures and sizes that reflect local need.</w:t>
      </w:r>
    </w:p>
    <w:p w14:paraId="4DA24E6C" w14:textId="77777777" w:rsidR="00B42E3B" w:rsidRPr="00B42E3B" w:rsidRDefault="00B42E3B" w:rsidP="00941260">
      <w:pPr>
        <w:spacing w:before="120" w:after="0" w:line="240" w:lineRule="auto"/>
        <w:outlineLvl w:val="2"/>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Ifold Settlement Boundary</w:t>
      </w:r>
    </w:p>
    <w:p w14:paraId="66A75E79" w14:textId="758D29FB"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 xml:space="preserve">Ifold’s boundary reflects its established character of large, </w:t>
      </w:r>
      <w:r w:rsidRPr="00941260">
        <w:rPr>
          <w:rFonts w:eastAsia="Times New Roman" w:cs="Times New Roman"/>
          <w:kern w:val="0"/>
          <w:sz w:val="22"/>
          <w:szCs w:val="22"/>
          <w:lang w:eastAsia="en-GB"/>
          <w14:ligatures w14:val="none"/>
        </w:rPr>
        <w:t>vegetation rich</w:t>
      </w:r>
      <w:r w:rsidRPr="00B42E3B">
        <w:rPr>
          <w:rFonts w:eastAsia="Times New Roman" w:cs="Times New Roman"/>
          <w:kern w:val="0"/>
          <w:sz w:val="22"/>
          <w:szCs w:val="22"/>
          <w:lang w:eastAsia="en-GB"/>
          <w14:ligatures w14:val="none"/>
        </w:rPr>
        <w:t xml:space="preserve"> plots averaging 5.6 dwellings per hectare. Recent infill pressures have eroded this character, prompting </w:t>
      </w:r>
      <w:r w:rsidRPr="00B42E3B">
        <w:rPr>
          <w:rFonts w:eastAsia="Times New Roman" w:cs="Times New Roman"/>
          <w:b/>
          <w:bCs/>
          <w:kern w:val="0"/>
          <w:sz w:val="22"/>
          <w:szCs w:val="22"/>
          <w:lang w:eastAsia="en-GB"/>
          <w14:ligatures w14:val="none"/>
        </w:rPr>
        <w:t>Policy H2</w:t>
      </w:r>
      <w:r w:rsidRPr="00B42E3B">
        <w:rPr>
          <w:rFonts w:eastAsia="Times New Roman" w:cs="Times New Roman"/>
          <w:kern w:val="0"/>
          <w:sz w:val="22"/>
          <w:szCs w:val="22"/>
          <w:lang w:eastAsia="en-GB"/>
          <w14:ligatures w14:val="none"/>
        </w:rPr>
        <w:t>, which supports redevelopment, replacement dwellings, and extensions only where they comply with the Design Guidelines and Codes. Key considerations include:</w:t>
      </w:r>
    </w:p>
    <w:p w14:paraId="3DE02E9C" w14:textId="77777777" w:rsidR="00B42E3B" w:rsidRPr="00B42E3B" w:rsidRDefault="00B42E3B" w:rsidP="00941260">
      <w:pPr>
        <w:numPr>
          <w:ilvl w:val="0"/>
          <w:numId w:val="3"/>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site coverage and density</w:t>
      </w:r>
    </w:p>
    <w:p w14:paraId="5C68EAAA" w14:textId="77777777" w:rsidR="00B42E3B" w:rsidRPr="00B42E3B" w:rsidRDefault="00B42E3B" w:rsidP="00941260">
      <w:pPr>
        <w:numPr>
          <w:ilvl w:val="0"/>
          <w:numId w:val="3"/>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residential amenity</w:t>
      </w:r>
    </w:p>
    <w:p w14:paraId="3FFF6D59" w14:textId="77777777" w:rsidR="00B42E3B" w:rsidRPr="00B42E3B" w:rsidRDefault="00B42E3B" w:rsidP="00941260">
      <w:pPr>
        <w:numPr>
          <w:ilvl w:val="0"/>
          <w:numId w:val="3"/>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heritage impacts</w:t>
      </w:r>
    </w:p>
    <w:p w14:paraId="4512D742" w14:textId="77777777" w:rsidR="00B42E3B" w:rsidRPr="00B42E3B" w:rsidRDefault="00B42E3B" w:rsidP="00941260">
      <w:pPr>
        <w:numPr>
          <w:ilvl w:val="0"/>
          <w:numId w:val="3"/>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tree cover and landscaping</w:t>
      </w:r>
    </w:p>
    <w:p w14:paraId="7ED8D657" w14:textId="77777777" w:rsidR="00B42E3B" w:rsidRPr="00B42E3B" w:rsidRDefault="00B42E3B" w:rsidP="00941260">
      <w:pPr>
        <w:numPr>
          <w:ilvl w:val="0"/>
          <w:numId w:val="3"/>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curtilage subdivision</w:t>
      </w:r>
    </w:p>
    <w:p w14:paraId="5FA3BFDD" w14:textId="77777777" w:rsidR="00B42E3B" w:rsidRPr="00B42E3B" w:rsidRDefault="00B42E3B" w:rsidP="00941260">
      <w:pPr>
        <w:numPr>
          <w:ilvl w:val="0"/>
          <w:numId w:val="3"/>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parking provision</w:t>
      </w:r>
    </w:p>
    <w:p w14:paraId="28046FA8" w14:textId="77777777" w:rsidR="00B42E3B" w:rsidRPr="00B42E3B" w:rsidRDefault="00B42E3B" w:rsidP="00941260">
      <w:pPr>
        <w:numPr>
          <w:ilvl w:val="0"/>
          <w:numId w:val="3"/>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dark skies protection</w:t>
      </w:r>
    </w:p>
    <w:p w14:paraId="4D3C48DC" w14:textId="031FC72E" w:rsidR="00B42E3B" w:rsidRPr="00B42E3B" w:rsidRDefault="00B42E3B" w:rsidP="00941260">
      <w:pPr>
        <w:spacing w:before="120" w:after="0" w:line="240" w:lineRule="auto"/>
        <w:outlineLvl w:val="2"/>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Design and Density Principles</w:t>
      </w:r>
    </w:p>
    <w:p w14:paraId="1CC40F0B"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 xml:space="preserve">The emerging Local Plan encourages densities of 35 </w:t>
      </w:r>
      <w:proofErr w:type="spellStart"/>
      <w:r w:rsidRPr="00B42E3B">
        <w:rPr>
          <w:rFonts w:eastAsia="Times New Roman" w:cs="Times New Roman"/>
          <w:kern w:val="0"/>
          <w:sz w:val="22"/>
          <w:szCs w:val="22"/>
          <w:lang w:eastAsia="en-GB"/>
          <w14:ligatures w14:val="none"/>
        </w:rPr>
        <w:t>dph</w:t>
      </w:r>
      <w:proofErr w:type="spellEnd"/>
      <w:r w:rsidRPr="00B42E3B">
        <w:rPr>
          <w:rFonts w:eastAsia="Times New Roman" w:cs="Times New Roman"/>
          <w:kern w:val="0"/>
          <w:sz w:val="22"/>
          <w:szCs w:val="22"/>
          <w:lang w:eastAsia="en-GB"/>
          <w14:ligatures w14:val="none"/>
        </w:rPr>
        <w:t xml:space="preserve">, but such levels would be incompatible with the Parish’s rural character. </w:t>
      </w:r>
      <w:r w:rsidRPr="00B42E3B">
        <w:rPr>
          <w:rFonts w:eastAsia="Times New Roman" w:cs="Times New Roman"/>
          <w:b/>
          <w:bCs/>
          <w:kern w:val="0"/>
          <w:sz w:val="22"/>
          <w:szCs w:val="22"/>
          <w:lang w:eastAsia="en-GB"/>
          <w14:ligatures w14:val="none"/>
        </w:rPr>
        <w:t>Policy H3</w:t>
      </w:r>
      <w:r w:rsidRPr="00B42E3B">
        <w:rPr>
          <w:rFonts w:eastAsia="Times New Roman" w:cs="Times New Roman"/>
          <w:kern w:val="0"/>
          <w:sz w:val="22"/>
          <w:szCs w:val="22"/>
          <w:lang w:eastAsia="en-GB"/>
          <w14:ligatures w14:val="none"/>
        </w:rPr>
        <w:t xml:space="preserve"> therefore requires densities to reflect local settlement patterns:</w:t>
      </w:r>
    </w:p>
    <w:p w14:paraId="2881DAC9" w14:textId="77777777" w:rsidR="00B42E3B" w:rsidRPr="00B42E3B" w:rsidRDefault="00B42E3B" w:rsidP="00941260">
      <w:pPr>
        <w:numPr>
          <w:ilvl w:val="0"/>
          <w:numId w:val="4"/>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 xml:space="preserve">Plaistow: 8–25 </w:t>
      </w:r>
      <w:proofErr w:type="spellStart"/>
      <w:r w:rsidRPr="00B42E3B">
        <w:rPr>
          <w:rFonts w:eastAsia="Times New Roman" w:cs="Times New Roman"/>
          <w:kern w:val="0"/>
          <w:sz w:val="22"/>
          <w:szCs w:val="22"/>
          <w:lang w:eastAsia="en-GB"/>
          <w14:ligatures w14:val="none"/>
        </w:rPr>
        <w:t>dph</w:t>
      </w:r>
      <w:proofErr w:type="spellEnd"/>
      <w:r w:rsidRPr="00B42E3B">
        <w:rPr>
          <w:rFonts w:eastAsia="Times New Roman" w:cs="Times New Roman"/>
          <w:kern w:val="0"/>
          <w:sz w:val="22"/>
          <w:szCs w:val="22"/>
          <w:lang w:eastAsia="en-GB"/>
          <w14:ligatures w14:val="none"/>
        </w:rPr>
        <w:t xml:space="preserve"> depending on location</w:t>
      </w:r>
    </w:p>
    <w:p w14:paraId="18B316EE" w14:textId="77777777" w:rsidR="00B42E3B" w:rsidRPr="00B42E3B" w:rsidRDefault="00B42E3B" w:rsidP="00941260">
      <w:pPr>
        <w:numPr>
          <w:ilvl w:val="0"/>
          <w:numId w:val="4"/>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 xml:space="preserve">Ifold: </w:t>
      </w:r>
      <w:proofErr w:type="gramStart"/>
      <w:r w:rsidRPr="00B42E3B">
        <w:rPr>
          <w:rFonts w:eastAsia="Times New Roman" w:cs="Times New Roman"/>
          <w:kern w:val="0"/>
          <w:sz w:val="22"/>
          <w:szCs w:val="22"/>
          <w:lang w:eastAsia="en-GB"/>
          <w14:ligatures w14:val="none"/>
        </w:rPr>
        <w:t>typically</w:t>
      </w:r>
      <w:proofErr w:type="gramEnd"/>
      <w:r w:rsidRPr="00B42E3B">
        <w:rPr>
          <w:rFonts w:eastAsia="Times New Roman" w:cs="Times New Roman"/>
          <w:kern w:val="0"/>
          <w:sz w:val="22"/>
          <w:szCs w:val="22"/>
          <w:lang w:eastAsia="en-GB"/>
          <w14:ligatures w14:val="none"/>
        </w:rPr>
        <w:t xml:space="preserve"> 6–10 </w:t>
      </w:r>
      <w:proofErr w:type="spellStart"/>
      <w:r w:rsidRPr="00B42E3B">
        <w:rPr>
          <w:rFonts w:eastAsia="Times New Roman" w:cs="Times New Roman"/>
          <w:kern w:val="0"/>
          <w:sz w:val="22"/>
          <w:szCs w:val="22"/>
          <w:lang w:eastAsia="en-GB"/>
          <w14:ligatures w14:val="none"/>
        </w:rPr>
        <w:t>dph</w:t>
      </w:r>
      <w:proofErr w:type="spellEnd"/>
    </w:p>
    <w:p w14:paraId="29836DFF" w14:textId="77777777" w:rsidR="00B42E3B" w:rsidRPr="00B42E3B" w:rsidRDefault="00B42E3B" w:rsidP="00941260">
      <w:pPr>
        <w:numPr>
          <w:ilvl w:val="0"/>
          <w:numId w:val="4"/>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 xml:space="preserve">Durfold Wood: around 3 </w:t>
      </w:r>
      <w:proofErr w:type="spellStart"/>
      <w:r w:rsidRPr="00B42E3B">
        <w:rPr>
          <w:rFonts w:eastAsia="Times New Roman" w:cs="Times New Roman"/>
          <w:kern w:val="0"/>
          <w:sz w:val="22"/>
          <w:szCs w:val="22"/>
          <w:lang w:eastAsia="en-GB"/>
          <w14:ligatures w14:val="none"/>
        </w:rPr>
        <w:t>dph</w:t>
      </w:r>
      <w:proofErr w:type="spellEnd"/>
    </w:p>
    <w:p w14:paraId="321F98B1" w14:textId="77777777" w:rsidR="00B42E3B" w:rsidRPr="00B42E3B" w:rsidRDefault="00B42E3B" w:rsidP="00941260">
      <w:pPr>
        <w:numPr>
          <w:ilvl w:val="0"/>
          <w:numId w:val="4"/>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Shillinglee: mixed, with higher density in cul</w:t>
      </w:r>
      <w:r w:rsidRPr="00B42E3B">
        <w:rPr>
          <w:rFonts w:eastAsia="Times New Roman" w:cs="Times New Roman"/>
          <w:kern w:val="0"/>
          <w:sz w:val="22"/>
          <w:szCs w:val="22"/>
          <w:lang w:eastAsia="en-GB"/>
          <w14:ligatures w14:val="none"/>
        </w:rPr>
        <w:noBreakHyphen/>
        <w:t>de</w:t>
      </w:r>
      <w:r w:rsidRPr="00B42E3B">
        <w:rPr>
          <w:rFonts w:eastAsia="Times New Roman" w:cs="Times New Roman"/>
          <w:kern w:val="0"/>
          <w:sz w:val="22"/>
          <w:szCs w:val="22"/>
          <w:lang w:eastAsia="en-GB"/>
          <w14:ligatures w14:val="none"/>
        </w:rPr>
        <w:noBreakHyphen/>
        <w:t>sacs</w:t>
      </w:r>
    </w:p>
    <w:p w14:paraId="01319BF7"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lastRenderedPageBreak/>
        <w:t>High car ownership (75% of households with more than two cars) necessitates generous parking provision to avoid verge damage and safety issues.</w:t>
      </w:r>
    </w:p>
    <w:p w14:paraId="67390827"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The AECOM Design Guidelines and Codes underpin all design expectations, including extensions built under permitted development rights.</w:t>
      </w:r>
    </w:p>
    <w:p w14:paraId="58E15A1B" w14:textId="0B81C0A9" w:rsidR="00B42E3B" w:rsidRPr="00B42E3B" w:rsidRDefault="00B42E3B" w:rsidP="00941260">
      <w:pPr>
        <w:spacing w:before="120" w:after="0" w:line="240" w:lineRule="auto"/>
        <w:outlineLvl w:val="1"/>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5. Economy and</w:t>
      </w:r>
      <w:r w:rsidR="00044EBA" w:rsidRPr="00941260">
        <w:rPr>
          <w:rFonts w:eastAsia="Times New Roman" w:cs="Times New Roman"/>
          <w:b/>
          <w:bCs/>
          <w:kern w:val="0"/>
          <w:sz w:val="22"/>
          <w:szCs w:val="22"/>
          <w:lang w:eastAsia="en-GB"/>
          <w14:ligatures w14:val="none"/>
        </w:rPr>
        <w:t xml:space="preserve"> </w:t>
      </w:r>
      <w:r w:rsidRPr="00B42E3B">
        <w:rPr>
          <w:rFonts w:eastAsia="Times New Roman" w:cs="Times New Roman"/>
          <w:b/>
          <w:bCs/>
          <w:kern w:val="0"/>
          <w:sz w:val="22"/>
          <w:szCs w:val="22"/>
          <w:lang w:eastAsia="en-GB"/>
          <w14:ligatures w14:val="none"/>
        </w:rPr>
        <w:t>Employment</w:t>
      </w:r>
    </w:p>
    <w:p w14:paraId="584AB41F"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The Parish’s economy is increasingly shaped by homeworking and small professional enterprises. The Plan seeks to protect employment space and encourage sustainable business growth.</w:t>
      </w:r>
    </w:p>
    <w:p w14:paraId="44ECDBD5"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t>Policy EE1</w:t>
      </w:r>
      <w:r w:rsidRPr="00B42E3B">
        <w:rPr>
          <w:rFonts w:eastAsia="Times New Roman" w:cs="Times New Roman"/>
          <w:kern w:val="0"/>
          <w:sz w:val="22"/>
          <w:szCs w:val="22"/>
          <w:lang w:eastAsia="en-GB"/>
          <w14:ligatures w14:val="none"/>
        </w:rPr>
        <w:t xml:space="preserve"> resists the loss of employment premises unless viability evidence and marketing efforts demonstrate no reasonable alternative use. It supports:</w:t>
      </w:r>
    </w:p>
    <w:p w14:paraId="4DBA5AA9" w14:textId="77777777" w:rsidR="00B42E3B" w:rsidRPr="00B42E3B" w:rsidRDefault="00B42E3B" w:rsidP="00941260">
      <w:pPr>
        <w:numPr>
          <w:ilvl w:val="0"/>
          <w:numId w:val="5"/>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live/work units</w:t>
      </w:r>
    </w:p>
    <w:p w14:paraId="0134EEE6" w14:textId="77777777" w:rsidR="00B42E3B" w:rsidRPr="00B42E3B" w:rsidRDefault="00B42E3B" w:rsidP="00941260">
      <w:pPr>
        <w:numPr>
          <w:ilvl w:val="0"/>
          <w:numId w:val="5"/>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reuse of redundant agricultural buildings</w:t>
      </w:r>
    </w:p>
    <w:p w14:paraId="66BD9770" w14:textId="77777777" w:rsidR="00B42E3B" w:rsidRPr="00B42E3B" w:rsidRDefault="00B42E3B" w:rsidP="00941260">
      <w:pPr>
        <w:numPr>
          <w:ilvl w:val="0"/>
          <w:numId w:val="5"/>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small</w:t>
      </w:r>
      <w:r w:rsidRPr="00B42E3B">
        <w:rPr>
          <w:rFonts w:eastAsia="Times New Roman" w:cs="Times New Roman"/>
          <w:kern w:val="0"/>
          <w:sz w:val="22"/>
          <w:szCs w:val="22"/>
          <w:lang w:eastAsia="en-GB"/>
          <w14:ligatures w14:val="none"/>
        </w:rPr>
        <w:noBreakHyphen/>
        <w:t>scale rural enterprises</w:t>
      </w:r>
    </w:p>
    <w:p w14:paraId="12679223"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provided they do not harm residential amenity, landscape character, or agricultural land.</w:t>
      </w:r>
    </w:p>
    <w:p w14:paraId="2A5DFD9E" w14:textId="77777777" w:rsidR="00B42E3B" w:rsidRPr="00B42E3B" w:rsidRDefault="00B42E3B" w:rsidP="00941260">
      <w:pPr>
        <w:spacing w:before="120" w:after="0" w:line="240" w:lineRule="auto"/>
        <w:outlineLvl w:val="2"/>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Retail</w:t>
      </w:r>
    </w:p>
    <w:p w14:paraId="72D75303"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 xml:space="preserve">Local shops in Plaistow and Ifold are vital community assets. </w:t>
      </w:r>
      <w:r w:rsidRPr="00B42E3B">
        <w:rPr>
          <w:rFonts w:eastAsia="Times New Roman" w:cs="Times New Roman"/>
          <w:b/>
          <w:bCs/>
          <w:kern w:val="0"/>
          <w:sz w:val="22"/>
          <w:szCs w:val="22"/>
          <w:lang w:eastAsia="en-GB"/>
          <w14:ligatures w14:val="none"/>
        </w:rPr>
        <w:t>Policy EE2</w:t>
      </w:r>
      <w:r w:rsidRPr="00B42E3B">
        <w:rPr>
          <w:rFonts w:eastAsia="Times New Roman" w:cs="Times New Roman"/>
          <w:kern w:val="0"/>
          <w:sz w:val="22"/>
          <w:szCs w:val="22"/>
          <w:lang w:eastAsia="en-GB"/>
          <w14:ligatures w14:val="none"/>
        </w:rPr>
        <w:t xml:space="preserve"> protects Class F2(a) shop premises from loss and supports reasonable diversification where the primary retail function is retained.</w:t>
      </w:r>
    </w:p>
    <w:p w14:paraId="49989845" w14:textId="77777777" w:rsidR="00B42E3B" w:rsidRPr="00B42E3B" w:rsidRDefault="00B42E3B" w:rsidP="00941260">
      <w:pPr>
        <w:spacing w:before="120" w:after="0" w:line="240" w:lineRule="auto"/>
        <w:outlineLvl w:val="2"/>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Brownfield Sites</w:t>
      </w:r>
    </w:p>
    <w:p w14:paraId="7E166468"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t>Policy EE3</w:t>
      </w:r>
      <w:r w:rsidRPr="00B42E3B">
        <w:rPr>
          <w:rFonts w:eastAsia="Times New Roman" w:cs="Times New Roman"/>
          <w:kern w:val="0"/>
          <w:sz w:val="22"/>
          <w:szCs w:val="22"/>
          <w:lang w:eastAsia="en-GB"/>
          <w14:ligatures w14:val="none"/>
        </w:rPr>
        <w:t xml:space="preserve"> encourages the sensitive redevelopment of brownfield land, including mixed</w:t>
      </w:r>
      <w:r w:rsidRPr="00B42E3B">
        <w:rPr>
          <w:rFonts w:eastAsia="Times New Roman" w:cs="Times New Roman"/>
          <w:kern w:val="0"/>
          <w:sz w:val="22"/>
          <w:szCs w:val="22"/>
          <w:lang w:eastAsia="en-GB"/>
          <w14:ligatures w14:val="none"/>
        </w:rPr>
        <w:noBreakHyphen/>
        <w:t>use schemes, subject to:</w:t>
      </w:r>
    </w:p>
    <w:p w14:paraId="3C16E5B7" w14:textId="77777777" w:rsidR="00B42E3B" w:rsidRPr="00B42E3B" w:rsidRDefault="00B42E3B" w:rsidP="00941260">
      <w:pPr>
        <w:numPr>
          <w:ilvl w:val="0"/>
          <w:numId w:val="6"/>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compliance with EE1</w:t>
      </w:r>
    </w:p>
    <w:p w14:paraId="557761BD" w14:textId="77777777" w:rsidR="00B42E3B" w:rsidRPr="00B42E3B" w:rsidRDefault="00B42E3B" w:rsidP="00941260">
      <w:pPr>
        <w:numPr>
          <w:ilvl w:val="0"/>
          <w:numId w:val="6"/>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rural</w:t>
      </w:r>
      <w:r w:rsidRPr="00B42E3B">
        <w:rPr>
          <w:rFonts w:eastAsia="Times New Roman" w:cs="Times New Roman"/>
          <w:kern w:val="0"/>
          <w:sz w:val="22"/>
          <w:szCs w:val="22"/>
          <w:lang w:eastAsia="en-GB"/>
          <w14:ligatures w14:val="none"/>
        </w:rPr>
        <w:noBreakHyphen/>
        <w:t>appropriate design</w:t>
      </w:r>
    </w:p>
    <w:p w14:paraId="5FED7BB5" w14:textId="77777777" w:rsidR="00B42E3B" w:rsidRPr="00B42E3B" w:rsidRDefault="00B42E3B" w:rsidP="00941260">
      <w:pPr>
        <w:numPr>
          <w:ilvl w:val="0"/>
          <w:numId w:val="6"/>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protection of ancient woodland and SACs</w:t>
      </w:r>
    </w:p>
    <w:p w14:paraId="34AFA5BF" w14:textId="77777777" w:rsidR="00B42E3B" w:rsidRPr="00B42E3B" w:rsidRDefault="00B42E3B" w:rsidP="00941260">
      <w:pPr>
        <w:numPr>
          <w:ilvl w:val="0"/>
          <w:numId w:val="6"/>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phasing to prevent residential elements coming forward in isolation</w:t>
      </w:r>
    </w:p>
    <w:p w14:paraId="462C6C5F" w14:textId="7DB18215" w:rsidR="00B42E3B" w:rsidRPr="00B42E3B" w:rsidRDefault="00B42E3B" w:rsidP="00941260">
      <w:pPr>
        <w:spacing w:before="120" w:after="0" w:line="240" w:lineRule="auto"/>
        <w:outlineLvl w:val="1"/>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6. Community Assets, Heritage, and Recreation</w:t>
      </w:r>
    </w:p>
    <w:p w14:paraId="31465EDD"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 xml:space="preserve">The Parish contains numerous designated heritage assets, including Holy Trinity Church and many listed buildings. </w:t>
      </w:r>
      <w:r w:rsidRPr="00B42E3B">
        <w:rPr>
          <w:rFonts w:eastAsia="Times New Roman" w:cs="Times New Roman"/>
          <w:b/>
          <w:bCs/>
          <w:kern w:val="0"/>
          <w:sz w:val="22"/>
          <w:szCs w:val="22"/>
          <w:lang w:eastAsia="en-GB"/>
          <w14:ligatures w14:val="none"/>
        </w:rPr>
        <w:t>AIM CAR1</w:t>
      </w:r>
      <w:r w:rsidRPr="00B42E3B">
        <w:rPr>
          <w:rFonts w:eastAsia="Times New Roman" w:cs="Times New Roman"/>
          <w:kern w:val="0"/>
          <w:sz w:val="22"/>
          <w:szCs w:val="22"/>
          <w:lang w:eastAsia="en-GB"/>
          <w14:ligatures w14:val="none"/>
        </w:rPr>
        <w:t xml:space="preserve"> supports their protection, enhancement, and sensitive adaptation, including retrofitting for energy efficiency.</w:t>
      </w:r>
    </w:p>
    <w:p w14:paraId="73B222C4"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A further set of locally significant buildings has been identified as Non</w:t>
      </w:r>
      <w:r w:rsidRPr="00B42E3B">
        <w:rPr>
          <w:rFonts w:eastAsia="Times New Roman" w:cs="Times New Roman"/>
          <w:kern w:val="0"/>
          <w:sz w:val="22"/>
          <w:szCs w:val="22"/>
          <w:lang w:eastAsia="en-GB"/>
          <w14:ligatures w14:val="none"/>
        </w:rPr>
        <w:noBreakHyphen/>
        <w:t>Designated Heritage Assets, proposed for inclusion in CDC’s formal list (</w:t>
      </w:r>
      <w:r w:rsidRPr="00B42E3B">
        <w:rPr>
          <w:rFonts w:eastAsia="Times New Roman" w:cs="Times New Roman"/>
          <w:b/>
          <w:bCs/>
          <w:kern w:val="0"/>
          <w:sz w:val="22"/>
          <w:szCs w:val="22"/>
          <w:lang w:eastAsia="en-GB"/>
          <w14:ligatures w14:val="none"/>
        </w:rPr>
        <w:t>AIM CAR2</w:t>
      </w:r>
      <w:r w:rsidRPr="00B42E3B">
        <w:rPr>
          <w:rFonts w:eastAsia="Times New Roman" w:cs="Times New Roman"/>
          <w:kern w:val="0"/>
          <w:sz w:val="22"/>
          <w:szCs w:val="22"/>
          <w:lang w:eastAsia="en-GB"/>
          <w14:ligatures w14:val="none"/>
        </w:rPr>
        <w:t>).</w:t>
      </w:r>
    </w:p>
    <w:p w14:paraId="13ECBB48"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 xml:space="preserve">Community buildings—such as Kelsey Hall, the Youth Club, and the Village Hall—play a central role in social life. </w:t>
      </w:r>
      <w:r w:rsidRPr="00B42E3B">
        <w:rPr>
          <w:rFonts w:eastAsia="Times New Roman" w:cs="Times New Roman"/>
          <w:b/>
          <w:bCs/>
          <w:kern w:val="0"/>
          <w:sz w:val="22"/>
          <w:szCs w:val="22"/>
          <w:lang w:eastAsia="en-GB"/>
          <w14:ligatures w14:val="none"/>
        </w:rPr>
        <w:t>AIM CAR3</w:t>
      </w:r>
      <w:r w:rsidRPr="00B42E3B">
        <w:rPr>
          <w:rFonts w:eastAsia="Times New Roman" w:cs="Times New Roman"/>
          <w:kern w:val="0"/>
          <w:sz w:val="22"/>
          <w:szCs w:val="22"/>
          <w:lang w:eastAsia="en-GB"/>
          <w14:ligatures w14:val="none"/>
        </w:rPr>
        <w:t xml:space="preserve"> supports their retention and improvement.</w:t>
      </w:r>
    </w:p>
    <w:p w14:paraId="7BD97937"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The Plan also promotes:</w:t>
      </w:r>
    </w:p>
    <w:p w14:paraId="610C3ECC" w14:textId="77777777" w:rsidR="00B42E3B" w:rsidRPr="00B42E3B" w:rsidRDefault="00B42E3B" w:rsidP="00941260">
      <w:pPr>
        <w:numPr>
          <w:ilvl w:val="0"/>
          <w:numId w:val="7"/>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protection of Assets of Community Value</w:t>
      </w:r>
    </w:p>
    <w:p w14:paraId="2DD1EFDA" w14:textId="3A31AC84" w:rsidR="00B42E3B" w:rsidRPr="00B42E3B" w:rsidRDefault="00B42E3B" w:rsidP="00941260">
      <w:pPr>
        <w:numPr>
          <w:ilvl w:val="0"/>
          <w:numId w:val="7"/>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enhancement of public open spaces</w:t>
      </w:r>
      <w:r w:rsidR="00044EBA" w:rsidRPr="00941260">
        <w:rPr>
          <w:rFonts w:eastAsia="Times New Roman" w:cs="Times New Roman"/>
          <w:kern w:val="0"/>
          <w:sz w:val="22"/>
          <w:szCs w:val="22"/>
          <w:lang w:eastAsia="en-GB"/>
          <w14:ligatures w14:val="none"/>
        </w:rPr>
        <w:t xml:space="preserve"> particularly in the Ifold area</w:t>
      </w:r>
    </w:p>
    <w:p w14:paraId="69EB4C91" w14:textId="77777777" w:rsidR="00B42E3B" w:rsidRPr="00B42E3B" w:rsidRDefault="00B42E3B" w:rsidP="00941260">
      <w:pPr>
        <w:numPr>
          <w:ilvl w:val="0"/>
          <w:numId w:val="7"/>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improved recreation facilities</w:t>
      </w:r>
    </w:p>
    <w:p w14:paraId="333D07AB" w14:textId="77777777" w:rsidR="00B42E3B" w:rsidRPr="00B42E3B" w:rsidRDefault="00B42E3B" w:rsidP="00941260">
      <w:pPr>
        <w:spacing w:before="120" w:after="0" w:line="240" w:lineRule="auto"/>
        <w:outlineLvl w:val="1"/>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7. Water, Environment, and Connectivity</w:t>
      </w:r>
    </w:p>
    <w:p w14:paraId="475C0CC1" w14:textId="77777777" w:rsidR="00B42E3B" w:rsidRPr="00B42E3B" w:rsidRDefault="00B42E3B" w:rsidP="00941260">
      <w:pPr>
        <w:spacing w:before="120" w:after="0" w:line="240" w:lineRule="auto"/>
        <w:outlineLvl w:val="2"/>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Flood Risk and Drainage</w:t>
      </w:r>
    </w:p>
    <w:p w14:paraId="31622C98"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b/>
          <w:bCs/>
          <w:kern w:val="0"/>
          <w:sz w:val="22"/>
          <w:szCs w:val="22"/>
          <w:lang w:eastAsia="en-GB"/>
          <w14:ligatures w14:val="none"/>
        </w:rPr>
        <w:lastRenderedPageBreak/>
        <w:t>Policy FR1</w:t>
      </w:r>
      <w:r w:rsidRPr="00B42E3B">
        <w:rPr>
          <w:rFonts w:eastAsia="Times New Roman" w:cs="Times New Roman"/>
          <w:kern w:val="0"/>
          <w:sz w:val="22"/>
          <w:szCs w:val="22"/>
          <w:lang w:eastAsia="en-GB"/>
          <w14:ligatures w14:val="none"/>
        </w:rPr>
        <w:t xml:space="preserve"> ensures that development does not proceed ahead of adequate foul and surface water capacity. Proposals must demonstrate no increased flood risk and must incorporate sustainable drainage.</w:t>
      </w:r>
    </w:p>
    <w:p w14:paraId="1E558CF3" w14:textId="77777777" w:rsidR="00B42E3B" w:rsidRPr="00B42E3B" w:rsidRDefault="00B42E3B" w:rsidP="00941260">
      <w:pPr>
        <w:spacing w:before="120" w:after="0" w:line="240" w:lineRule="auto"/>
        <w:outlineLvl w:val="2"/>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Biodiversity and Green Infrastructure</w:t>
      </w:r>
    </w:p>
    <w:p w14:paraId="530D15ED"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 xml:space="preserve">The Parish’s ancient woodland, hedgerows, ponds, and wildlife corridors are central to its identity. </w:t>
      </w:r>
      <w:r w:rsidRPr="00B42E3B">
        <w:rPr>
          <w:rFonts w:eastAsia="Times New Roman" w:cs="Times New Roman"/>
          <w:b/>
          <w:bCs/>
          <w:kern w:val="0"/>
          <w:sz w:val="22"/>
          <w:szCs w:val="22"/>
          <w:lang w:eastAsia="en-GB"/>
          <w14:ligatures w14:val="none"/>
        </w:rPr>
        <w:t>AIM ECC1</w:t>
      </w:r>
      <w:r w:rsidRPr="00B42E3B">
        <w:rPr>
          <w:rFonts w:eastAsia="Times New Roman" w:cs="Times New Roman"/>
          <w:kern w:val="0"/>
          <w:sz w:val="22"/>
          <w:szCs w:val="22"/>
          <w:lang w:eastAsia="en-GB"/>
          <w14:ligatures w14:val="none"/>
        </w:rPr>
        <w:t xml:space="preserve"> supports habitat enhancement, ecological connectivity, and biodiversity net gain.</w:t>
      </w:r>
    </w:p>
    <w:p w14:paraId="380F0229" w14:textId="77777777" w:rsidR="00B42E3B" w:rsidRPr="00B42E3B" w:rsidRDefault="00B42E3B" w:rsidP="00941260">
      <w:pPr>
        <w:spacing w:before="120" w:after="0" w:line="240" w:lineRule="auto"/>
        <w:outlineLvl w:val="2"/>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Active Travel and Transport</w:t>
      </w:r>
    </w:p>
    <w:p w14:paraId="32D2A94D"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The Plan seeks to improve walking, cycling, and public transport options through:</w:t>
      </w:r>
    </w:p>
    <w:p w14:paraId="56B5B09C" w14:textId="77777777" w:rsidR="00B42E3B" w:rsidRPr="00B42E3B" w:rsidRDefault="00B42E3B" w:rsidP="00941260">
      <w:pPr>
        <w:numPr>
          <w:ilvl w:val="0"/>
          <w:numId w:val="8"/>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safer highways (</w:t>
      </w:r>
      <w:r w:rsidRPr="00B42E3B">
        <w:rPr>
          <w:rFonts w:eastAsia="Times New Roman" w:cs="Times New Roman"/>
          <w:b/>
          <w:bCs/>
          <w:kern w:val="0"/>
          <w:sz w:val="22"/>
          <w:szCs w:val="22"/>
          <w:lang w:eastAsia="en-GB"/>
          <w14:ligatures w14:val="none"/>
        </w:rPr>
        <w:t>Policy EHS1</w:t>
      </w:r>
      <w:r w:rsidRPr="00B42E3B">
        <w:rPr>
          <w:rFonts w:eastAsia="Times New Roman" w:cs="Times New Roman"/>
          <w:kern w:val="0"/>
          <w:sz w:val="22"/>
          <w:szCs w:val="22"/>
          <w:lang w:eastAsia="en-GB"/>
          <w14:ligatures w14:val="none"/>
        </w:rPr>
        <w:t>)</w:t>
      </w:r>
    </w:p>
    <w:p w14:paraId="13452F02" w14:textId="77777777" w:rsidR="00B42E3B" w:rsidRPr="00B42E3B" w:rsidRDefault="00B42E3B" w:rsidP="00941260">
      <w:pPr>
        <w:numPr>
          <w:ilvl w:val="0"/>
          <w:numId w:val="8"/>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improved rights of way (</w:t>
      </w:r>
      <w:r w:rsidRPr="00B42E3B">
        <w:rPr>
          <w:rFonts w:eastAsia="Times New Roman" w:cs="Times New Roman"/>
          <w:b/>
          <w:bCs/>
          <w:kern w:val="0"/>
          <w:sz w:val="22"/>
          <w:szCs w:val="22"/>
          <w:lang w:eastAsia="en-GB"/>
          <w14:ligatures w14:val="none"/>
        </w:rPr>
        <w:t>AIM ECC3</w:t>
      </w:r>
      <w:r w:rsidRPr="00B42E3B">
        <w:rPr>
          <w:rFonts w:eastAsia="Times New Roman" w:cs="Times New Roman"/>
          <w:kern w:val="0"/>
          <w:sz w:val="22"/>
          <w:szCs w:val="22"/>
          <w:lang w:eastAsia="en-GB"/>
          <w14:ligatures w14:val="none"/>
        </w:rPr>
        <w:t>)</w:t>
      </w:r>
    </w:p>
    <w:p w14:paraId="60292D80" w14:textId="77777777" w:rsidR="00B42E3B" w:rsidRPr="00B42E3B" w:rsidRDefault="00B42E3B" w:rsidP="00941260">
      <w:pPr>
        <w:numPr>
          <w:ilvl w:val="0"/>
          <w:numId w:val="8"/>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new cycle routes (</w:t>
      </w:r>
      <w:r w:rsidRPr="00B42E3B">
        <w:rPr>
          <w:rFonts w:eastAsia="Times New Roman" w:cs="Times New Roman"/>
          <w:b/>
          <w:bCs/>
          <w:kern w:val="0"/>
          <w:sz w:val="22"/>
          <w:szCs w:val="22"/>
          <w:lang w:eastAsia="en-GB"/>
          <w14:ligatures w14:val="none"/>
        </w:rPr>
        <w:t>AIM ECC4</w:t>
      </w:r>
      <w:r w:rsidRPr="00B42E3B">
        <w:rPr>
          <w:rFonts w:eastAsia="Times New Roman" w:cs="Times New Roman"/>
          <w:kern w:val="0"/>
          <w:sz w:val="22"/>
          <w:szCs w:val="22"/>
          <w:lang w:eastAsia="en-GB"/>
          <w14:ligatures w14:val="none"/>
        </w:rPr>
        <w:t>)</w:t>
      </w:r>
    </w:p>
    <w:p w14:paraId="26C3762C" w14:textId="77777777" w:rsidR="00B42E3B" w:rsidRPr="00B42E3B" w:rsidRDefault="00B42E3B" w:rsidP="00941260">
      <w:pPr>
        <w:numPr>
          <w:ilvl w:val="0"/>
          <w:numId w:val="8"/>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better public transport links (</w:t>
      </w:r>
      <w:r w:rsidRPr="00B42E3B">
        <w:rPr>
          <w:rFonts w:eastAsia="Times New Roman" w:cs="Times New Roman"/>
          <w:b/>
          <w:bCs/>
          <w:kern w:val="0"/>
          <w:sz w:val="22"/>
          <w:szCs w:val="22"/>
          <w:lang w:eastAsia="en-GB"/>
          <w14:ligatures w14:val="none"/>
        </w:rPr>
        <w:t>AIM ECC5</w:t>
      </w:r>
      <w:r w:rsidRPr="00B42E3B">
        <w:rPr>
          <w:rFonts w:eastAsia="Times New Roman" w:cs="Times New Roman"/>
          <w:kern w:val="0"/>
          <w:sz w:val="22"/>
          <w:szCs w:val="22"/>
          <w:lang w:eastAsia="en-GB"/>
          <w14:ligatures w14:val="none"/>
        </w:rPr>
        <w:t>)</w:t>
      </w:r>
    </w:p>
    <w:p w14:paraId="33993453" w14:textId="77777777" w:rsidR="00B42E3B" w:rsidRPr="00B42E3B" w:rsidRDefault="00B42E3B" w:rsidP="00941260">
      <w:pPr>
        <w:numPr>
          <w:ilvl w:val="0"/>
          <w:numId w:val="8"/>
        </w:num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school transport improvements (</w:t>
      </w:r>
      <w:r w:rsidRPr="00B42E3B">
        <w:rPr>
          <w:rFonts w:eastAsia="Times New Roman" w:cs="Times New Roman"/>
          <w:b/>
          <w:bCs/>
          <w:kern w:val="0"/>
          <w:sz w:val="22"/>
          <w:szCs w:val="22"/>
          <w:lang w:eastAsia="en-GB"/>
          <w14:ligatures w14:val="none"/>
        </w:rPr>
        <w:t>AIM ECC7</w:t>
      </w:r>
      <w:r w:rsidRPr="00B42E3B">
        <w:rPr>
          <w:rFonts w:eastAsia="Times New Roman" w:cs="Times New Roman"/>
          <w:kern w:val="0"/>
          <w:sz w:val="22"/>
          <w:szCs w:val="22"/>
          <w:lang w:eastAsia="en-GB"/>
          <w14:ligatures w14:val="none"/>
        </w:rPr>
        <w:t>)</w:t>
      </w:r>
    </w:p>
    <w:p w14:paraId="177932CA"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 xml:space="preserve">Local Green Spaces are designated in Ifold, Plaistow, and Shillinglee, protected under </w:t>
      </w:r>
      <w:r w:rsidRPr="00B42E3B">
        <w:rPr>
          <w:rFonts w:eastAsia="Times New Roman" w:cs="Times New Roman"/>
          <w:b/>
          <w:bCs/>
          <w:kern w:val="0"/>
          <w:sz w:val="22"/>
          <w:szCs w:val="22"/>
          <w:lang w:eastAsia="en-GB"/>
          <w14:ligatures w14:val="none"/>
        </w:rPr>
        <w:t>Policy LGS1</w:t>
      </w:r>
      <w:r w:rsidRPr="00B42E3B">
        <w:rPr>
          <w:rFonts w:eastAsia="Times New Roman" w:cs="Times New Roman"/>
          <w:kern w:val="0"/>
          <w:sz w:val="22"/>
          <w:szCs w:val="22"/>
          <w:lang w:eastAsia="en-GB"/>
          <w14:ligatures w14:val="none"/>
        </w:rPr>
        <w:t xml:space="preserve"> for their community, recreational, and environmental value.</w:t>
      </w:r>
    </w:p>
    <w:p w14:paraId="130AA84F" w14:textId="77777777" w:rsidR="00B42E3B" w:rsidRPr="00B42E3B" w:rsidRDefault="00B42E3B" w:rsidP="00941260">
      <w:pPr>
        <w:spacing w:before="120" w:after="0" w:line="240" w:lineRule="auto"/>
        <w:outlineLvl w:val="1"/>
        <w:rPr>
          <w:rFonts w:eastAsia="Times New Roman" w:cs="Times New Roman"/>
          <w:b/>
          <w:bCs/>
          <w:kern w:val="0"/>
          <w:sz w:val="22"/>
          <w:szCs w:val="22"/>
          <w:lang w:eastAsia="en-GB"/>
          <w14:ligatures w14:val="none"/>
        </w:rPr>
      </w:pPr>
      <w:r w:rsidRPr="00B42E3B">
        <w:rPr>
          <w:rFonts w:eastAsia="Times New Roman" w:cs="Times New Roman"/>
          <w:b/>
          <w:bCs/>
          <w:kern w:val="0"/>
          <w:sz w:val="22"/>
          <w:szCs w:val="22"/>
          <w:lang w:eastAsia="en-GB"/>
          <w14:ligatures w14:val="none"/>
        </w:rPr>
        <w:t>8. Delivery and Monitoring</w:t>
      </w:r>
    </w:p>
    <w:p w14:paraId="1AE79E8A" w14:textId="77777777" w:rsidR="00B42E3B" w:rsidRPr="00B42E3B" w:rsidRDefault="00B42E3B" w:rsidP="00941260">
      <w:pPr>
        <w:spacing w:before="120" w:after="0"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The Parish Council will monitor progress and work with CDC, SDNPA, landowners, and the community to deliver the Plan’s aims. Table 1 in the full document sets out responsibilities and timescales for implementation.</w:t>
      </w:r>
    </w:p>
    <w:p w14:paraId="42B9E4AE" w14:textId="77777777" w:rsidR="00B42E3B" w:rsidRPr="00B42E3B" w:rsidRDefault="00B42E3B" w:rsidP="00B42E3B">
      <w:pPr>
        <w:spacing w:before="100" w:beforeAutospacing="1" w:after="100" w:afterAutospacing="1" w:line="240" w:lineRule="auto"/>
        <w:rPr>
          <w:rFonts w:eastAsia="Times New Roman" w:cs="Times New Roman"/>
          <w:kern w:val="0"/>
          <w:sz w:val="22"/>
          <w:szCs w:val="22"/>
          <w:lang w:eastAsia="en-GB"/>
          <w14:ligatures w14:val="none"/>
        </w:rPr>
      </w:pPr>
      <w:r w:rsidRPr="00B42E3B">
        <w:rPr>
          <w:rFonts w:eastAsia="Times New Roman" w:cs="Times New Roman"/>
          <w:kern w:val="0"/>
          <w:sz w:val="22"/>
          <w:szCs w:val="22"/>
          <w:lang w:eastAsia="en-GB"/>
          <w14:ligatures w14:val="none"/>
        </w:rPr>
        <w:t>The Neighbourhood Plan provides a coherent, locally</w:t>
      </w:r>
      <w:r w:rsidRPr="00B42E3B">
        <w:rPr>
          <w:rFonts w:eastAsia="Times New Roman" w:cs="Times New Roman"/>
          <w:kern w:val="0"/>
          <w:sz w:val="22"/>
          <w:szCs w:val="22"/>
          <w:lang w:eastAsia="en-GB"/>
          <w14:ligatures w14:val="none"/>
        </w:rPr>
        <w:noBreakHyphen/>
        <w:t>rooted framework to guide development, protect rural character, support community life, and ensure the Parish evolves sustainably to 2039.</w:t>
      </w:r>
    </w:p>
    <w:p w14:paraId="7086CB2A" w14:textId="7CFC3C87" w:rsidR="00B42E3B" w:rsidRPr="00B42E3B" w:rsidRDefault="00B42E3B" w:rsidP="00B42E3B">
      <w:pPr>
        <w:spacing w:after="0" w:line="240" w:lineRule="auto"/>
        <w:rPr>
          <w:rFonts w:eastAsia="Times New Roman" w:cs="Times New Roman"/>
          <w:kern w:val="0"/>
          <w:sz w:val="22"/>
          <w:szCs w:val="22"/>
          <w:lang w:eastAsia="en-GB"/>
          <w14:ligatures w14:val="none"/>
        </w:rPr>
      </w:pPr>
    </w:p>
    <w:sectPr w:rsidR="00B42E3B" w:rsidRPr="00B42E3B" w:rsidSect="00941260">
      <w:headerReference w:type="default" r:id="rId7"/>
      <w:footerReference w:type="default" r:id="rId8"/>
      <w:headerReference w:type="first" r:id="rId9"/>
      <w:pgSz w:w="11906" w:h="16838"/>
      <w:pgMar w:top="1440" w:right="1440" w:bottom="1440" w:left="1440"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A611" w14:textId="77777777" w:rsidR="00D754A0" w:rsidRDefault="00D754A0" w:rsidP="00044EBA">
      <w:pPr>
        <w:spacing w:after="0" w:line="240" w:lineRule="auto"/>
      </w:pPr>
      <w:r>
        <w:separator/>
      </w:r>
    </w:p>
  </w:endnote>
  <w:endnote w:type="continuationSeparator" w:id="0">
    <w:p w14:paraId="5158D870" w14:textId="77777777" w:rsidR="00D754A0" w:rsidRDefault="00D754A0" w:rsidP="0004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015509"/>
      <w:docPartObj>
        <w:docPartGallery w:val="Page Numbers (Bottom of Page)"/>
        <w:docPartUnique/>
      </w:docPartObj>
    </w:sdtPr>
    <w:sdtEndPr>
      <w:rPr>
        <w:noProof/>
      </w:rPr>
    </w:sdtEndPr>
    <w:sdtContent>
      <w:p w14:paraId="5C93F2F3" w14:textId="4D755054" w:rsidR="00941260" w:rsidRDefault="009412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48F98E" w14:textId="77777777" w:rsidR="00941260" w:rsidRDefault="00941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B269" w14:textId="77777777" w:rsidR="00D754A0" w:rsidRDefault="00D754A0" w:rsidP="00044EBA">
      <w:pPr>
        <w:spacing w:after="0" w:line="240" w:lineRule="auto"/>
      </w:pPr>
      <w:r>
        <w:separator/>
      </w:r>
    </w:p>
  </w:footnote>
  <w:footnote w:type="continuationSeparator" w:id="0">
    <w:p w14:paraId="653FF17E" w14:textId="77777777" w:rsidR="00D754A0" w:rsidRDefault="00D754A0" w:rsidP="0004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0DB9" w14:textId="68160685" w:rsidR="00044EBA" w:rsidRPr="00B42E3B" w:rsidRDefault="00044EBA" w:rsidP="00044EBA">
    <w:pPr>
      <w:spacing w:before="100" w:beforeAutospacing="1" w:after="100" w:afterAutospacing="1" w:line="240" w:lineRule="auto"/>
      <w:outlineLvl w:val="0"/>
      <w:rPr>
        <w:rFonts w:ascii="Times New Roman" w:eastAsia="Times New Roman" w:hAnsi="Times New Roman" w:cs="Times New Roman"/>
        <w:b/>
        <w:bCs/>
        <w:kern w:val="36"/>
        <w:sz w:val="22"/>
        <w:szCs w:val="22"/>
        <w:lang w:eastAsia="en-GB"/>
        <w14:ligatures w14:val="none"/>
      </w:rPr>
    </w:pPr>
    <w:r w:rsidRPr="00B42E3B">
      <w:rPr>
        <w:rFonts w:ascii="Times New Roman" w:eastAsia="Times New Roman" w:hAnsi="Times New Roman" w:cs="Times New Roman"/>
        <w:b/>
        <w:bCs/>
        <w:kern w:val="36"/>
        <w:sz w:val="22"/>
        <w:szCs w:val="22"/>
        <w:lang w:eastAsia="en-GB"/>
        <w14:ligatures w14:val="none"/>
      </w:rPr>
      <w:t>Plaistow &amp; Ifold Neighbourhood Plan (2023–2039)</w:t>
    </w:r>
    <w:r>
      <w:rPr>
        <w:rFonts w:ascii="Times New Roman" w:eastAsia="Times New Roman" w:hAnsi="Times New Roman" w:cs="Times New Roman"/>
        <w:b/>
        <w:bCs/>
        <w:kern w:val="36"/>
        <w:sz w:val="22"/>
        <w:szCs w:val="22"/>
        <w:lang w:eastAsia="en-GB"/>
        <w14:ligatures w14:val="none"/>
      </w:rPr>
      <w:t>- Four-page summary.</w:t>
    </w:r>
  </w:p>
  <w:p w14:paraId="440844F4" w14:textId="77777777" w:rsidR="00044EBA" w:rsidRDefault="00044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457F" w14:textId="4D870CD4" w:rsidR="00044EBA" w:rsidRDefault="00044EBA" w:rsidP="00044EBA">
    <w:pPr>
      <w:spacing w:before="100" w:beforeAutospacing="1" w:after="100" w:afterAutospacing="1" w:line="240" w:lineRule="auto"/>
      <w:outlineLvl w:val="0"/>
    </w:pPr>
    <w:r w:rsidRPr="00B42E3B">
      <w:rPr>
        <w:rFonts w:ascii="Times New Roman" w:eastAsia="Times New Roman" w:hAnsi="Times New Roman" w:cs="Times New Roman"/>
        <w:b/>
        <w:bCs/>
        <w:kern w:val="36"/>
        <w:sz w:val="48"/>
        <w:szCs w:val="48"/>
        <w:lang w:eastAsia="en-GB"/>
        <w14:ligatures w14:val="none"/>
      </w:rPr>
      <w:t>Plaistow &amp; Ifold Neighbourhood Plan (2023–2039)</w:t>
    </w:r>
    <w:r w:rsidR="00835BFA">
      <w:rPr>
        <w:rFonts w:ascii="Times New Roman" w:eastAsia="Times New Roman" w:hAnsi="Times New Roman" w:cs="Times New Roman"/>
        <w:b/>
        <w:bCs/>
        <w:kern w:val="36"/>
        <w:sz w:val="48"/>
        <w:szCs w:val="48"/>
        <w:lang w:eastAsia="en-GB"/>
        <w14:ligatures w14:val="none"/>
      </w:rPr>
      <w:t xml:space="preserve"> Regulation 14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70F"/>
    <w:multiLevelType w:val="multilevel"/>
    <w:tmpl w:val="949A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521D4"/>
    <w:multiLevelType w:val="multilevel"/>
    <w:tmpl w:val="03C2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52BE4"/>
    <w:multiLevelType w:val="multilevel"/>
    <w:tmpl w:val="1A9E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4535D"/>
    <w:multiLevelType w:val="multilevel"/>
    <w:tmpl w:val="9DBA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F138F"/>
    <w:multiLevelType w:val="multilevel"/>
    <w:tmpl w:val="1FB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71D69"/>
    <w:multiLevelType w:val="multilevel"/>
    <w:tmpl w:val="004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2512E"/>
    <w:multiLevelType w:val="multilevel"/>
    <w:tmpl w:val="4ABE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658D0"/>
    <w:multiLevelType w:val="multilevel"/>
    <w:tmpl w:val="E96A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B3127B"/>
    <w:multiLevelType w:val="multilevel"/>
    <w:tmpl w:val="38E8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955880">
    <w:abstractNumId w:val="3"/>
  </w:num>
  <w:num w:numId="2" w16cid:durableId="342904777">
    <w:abstractNumId w:val="0"/>
  </w:num>
  <w:num w:numId="3" w16cid:durableId="133447267">
    <w:abstractNumId w:val="1"/>
  </w:num>
  <w:num w:numId="4" w16cid:durableId="1692563421">
    <w:abstractNumId w:val="4"/>
  </w:num>
  <w:num w:numId="5" w16cid:durableId="1642418729">
    <w:abstractNumId w:val="5"/>
  </w:num>
  <w:num w:numId="6" w16cid:durableId="882516729">
    <w:abstractNumId w:val="6"/>
  </w:num>
  <w:num w:numId="7" w16cid:durableId="371853397">
    <w:abstractNumId w:val="8"/>
  </w:num>
  <w:num w:numId="8" w16cid:durableId="131945924">
    <w:abstractNumId w:val="7"/>
  </w:num>
  <w:num w:numId="9" w16cid:durableId="1315378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3B"/>
    <w:rsid w:val="00044EBA"/>
    <w:rsid w:val="005239D3"/>
    <w:rsid w:val="00835BFA"/>
    <w:rsid w:val="00941260"/>
    <w:rsid w:val="00B42E3B"/>
    <w:rsid w:val="00D754A0"/>
    <w:rsid w:val="00E920A3"/>
    <w:rsid w:val="00F20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34AF"/>
  <w15:chartTrackingRefBased/>
  <w15:docId w15:val="{4179CC36-8C79-4D62-B0F7-6F658FB0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E3B"/>
    <w:rPr>
      <w:rFonts w:eastAsiaTheme="majorEastAsia" w:cstheme="majorBidi"/>
      <w:color w:val="272727" w:themeColor="text1" w:themeTint="D8"/>
    </w:rPr>
  </w:style>
  <w:style w:type="paragraph" w:styleId="Title">
    <w:name w:val="Title"/>
    <w:basedOn w:val="Normal"/>
    <w:next w:val="Normal"/>
    <w:link w:val="TitleChar"/>
    <w:uiPriority w:val="10"/>
    <w:qFormat/>
    <w:rsid w:val="00B42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E3B"/>
    <w:pPr>
      <w:spacing w:before="160"/>
      <w:jc w:val="center"/>
    </w:pPr>
    <w:rPr>
      <w:i/>
      <w:iCs/>
      <w:color w:val="404040" w:themeColor="text1" w:themeTint="BF"/>
    </w:rPr>
  </w:style>
  <w:style w:type="character" w:customStyle="1" w:styleId="QuoteChar">
    <w:name w:val="Quote Char"/>
    <w:basedOn w:val="DefaultParagraphFont"/>
    <w:link w:val="Quote"/>
    <w:uiPriority w:val="29"/>
    <w:rsid w:val="00B42E3B"/>
    <w:rPr>
      <w:i/>
      <w:iCs/>
      <w:color w:val="404040" w:themeColor="text1" w:themeTint="BF"/>
    </w:rPr>
  </w:style>
  <w:style w:type="paragraph" w:styleId="ListParagraph">
    <w:name w:val="List Paragraph"/>
    <w:basedOn w:val="Normal"/>
    <w:uiPriority w:val="34"/>
    <w:qFormat/>
    <w:rsid w:val="00B42E3B"/>
    <w:pPr>
      <w:ind w:left="720"/>
      <w:contextualSpacing/>
    </w:pPr>
  </w:style>
  <w:style w:type="character" w:styleId="IntenseEmphasis">
    <w:name w:val="Intense Emphasis"/>
    <w:basedOn w:val="DefaultParagraphFont"/>
    <w:uiPriority w:val="21"/>
    <w:qFormat/>
    <w:rsid w:val="00B42E3B"/>
    <w:rPr>
      <w:i/>
      <w:iCs/>
      <w:color w:val="0F4761" w:themeColor="accent1" w:themeShade="BF"/>
    </w:rPr>
  </w:style>
  <w:style w:type="paragraph" w:styleId="IntenseQuote">
    <w:name w:val="Intense Quote"/>
    <w:basedOn w:val="Normal"/>
    <w:next w:val="Normal"/>
    <w:link w:val="IntenseQuoteChar"/>
    <w:uiPriority w:val="30"/>
    <w:qFormat/>
    <w:rsid w:val="00B42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E3B"/>
    <w:rPr>
      <w:i/>
      <w:iCs/>
      <w:color w:val="0F4761" w:themeColor="accent1" w:themeShade="BF"/>
    </w:rPr>
  </w:style>
  <w:style w:type="character" w:styleId="IntenseReference">
    <w:name w:val="Intense Reference"/>
    <w:basedOn w:val="DefaultParagraphFont"/>
    <w:uiPriority w:val="32"/>
    <w:qFormat/>
    <w:rsid w:val="00B42E3B"/>
    <w:rPr>
      <w:b/>
      <w:bCs/>
      <w:smallCaps/>
      <w:color w:val="0F4761" w:themeColor="accent1" w:themeShade="BF"/>
      <w:spacing w:val="5"/>
    </w:rPr>
  </w:style>
  <w:style w:type="paragraph" w:styleId="Header">
    <w:name w:val="header"/>
    <w:basedOn w:val="Normal"/>
    <w:link w:val="HeaderChar"/>
    <w:uiPriority w:val="99"/>
    <w:unhideWhenUsed/>
    <w:rsid w:val="0004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EBA"/>
  </w:style>
  <w:style w:type="paragraph" w:styleId="Footer">
    <w:name w:val="footer"/>
    <w:basedOn w:val="Normal"/>
    <w:link w:val="FooterChar"/>
    <w:uiPriority w:val="99"/>
    <w:unhideWhenUsed/>
    <w:rsid w:val="0004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1194</Words>
  <Characters>7278</Characters>
  <Application>Microsoft Office Word</Application>
  <DocSecurity>0</DocSecurity>
  <Lines>144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PLAISTOW AND IFOLD PARISH COUNCIL</dc:creator>
  <cp:keywords/>
  <dc:description/>
  <cp:lastModifiedBy>PLAISTOW AND IFOLD PARISH COUNCIL</cp:lastModifiedBy>
  <cp:revision>2</cp:revision>
  <dcterms:created xsi:type="dcterms:W3CDTF">2026-01-12T09:11:00Z</dcterms:created>
  <dcterms:modified xsi:type="dcterms:W3CDTF">2026-01-14T08:44:00Z</dcterms:modified>
</cp:coreProperties>
</file>